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0" w:type="dxa"/>
        <w:jc w:val="center"/>
        <w:tblCellSpacing w:w="0" w:type="dxa"/>
        <w:tblCellMar>
          <w:left w:w="0" w:type="dxa"/>
          <w:right w:w="0" w:type="dxa"/>
        </w:tblCellMar>
        <w:tblLook w:val="04A0"/>
      </w:tblPr>
      <w:tblGrid>
        <w:gridCol w:w="10590"/>
      </w:tblGrid>
      <w:tr w:rsidR="00FD74AE" w:rsidRPr="00FD74AE">
        <w:trPr>
          <w:trHeight w:val="375"/>
          <w:tblCellSpacing w:w="0" w:type="dxa"/>
          <w:jc w:val="center"/>
        </w:trPr>
        <w:tc>
          <w:tcPr>
            <w:tcW w:w="0" w:type="auto"/>
            <w:vAlign w:val="center"/>
            <w:hideMark/>
          </w:tcPr>
          <w:p w:rsidR="00FD74AE" w:rsidRPr="00FD74AE" w:rsidRDefault="00FD74AE" w:rsidP="00FD74AE">
            <w:pPr>
              <w:widowControl/>
              <w:spacing w:before="150"/>
              <w:jc w:val="center"/>
              <w:rPr>
                <w:rFonts w:ascii="宋体" w:eastAsia="宋体" w:hAnsi="宋体" w:cs="宋体"/>
                <w:kern w:val="0"/>
                <w:sz w:val="24"/>
                <w:szCs w:val="24"/>
              </w:rPr>
            </w:pPr>
            <w:r w:rsidRPr="00FD74AE">
              <w:rPr>
                <w:rFonts w:ascii="宋体" w:eastAsia="宋体" w:hAnsi="宋体" w:cs="宋体"/>
                <w:b/>
                <w:bCs/>
                <w:color w:val="FF0000"/>
                <w:kern w:val="0"/>
              </w:rPr>
              <w:t>石墨烯基超级电容器组装技术</w:t>
            </w:r>
          </w:p>
        </w:tc>
      </w:tr>
      <w:tr w:rsidR="00FD74AE" w:rsidRPr="00FD74AE">
        <w:trPr>
          <w:trHeight w:val="225"/>
          <w:tblCellSpacing w:w="0" w:type="dxa"/>
          <w:jc w:val="center"/>
        </w:trPr>
        <w:tc>
          <w:tcPr>
            <w:tcW w:w="0" w:type="auto"/>
            <w:vAlign w:val="center"/>
            <w:hideMark/>
          </w:tcPr>
          <w:p w:rsidR="00FD74AE" w:rsidRPr="00FD74AE" w:rsidRDefault="00FD74AE" w:rsidP="00FD74AE">
            <w:pPr>
              <w:widowControl/>
              <w:spacing w:before="150"/>
              <w:jc w:val="left"/>
              <w:rPr>
                <w:rFonts w:ascii="宋体" w:eastAsia="宋体" w:hAnsi="宋体" w:cs="宋体"/>
                <w:kern w:val="0"/>
                <w:sz w:val="22"/>
                <w:szCs w:val="24"/>
              </w:rPr>
            </w:pPr>
          </w:p>
        </w:tc>
      </w:tr>
    </w:tbl>
    <w:p w:rsidR="00FD74AE" w:rsidRPr="00FD74AE" w:rsidRDefault="00FD74AE" w:rsidP="00FD74AE">
      <w:pPr>
        <w:widowControl/>
        <w:jc w:val="center"/>
        <w:rPr>
          <w:rFonts w:ascii="宋体" w:eastAsia="宋体" w:hAnsi="宋体" w:cs="宋体"/>
          <w:vanish/>
          <w:kern w:val="0"/>
          <w:sz w:val="24"/>
          <w:szCs w:val="24"/>
        </w:rPr>
      </w:pPr>
    </w:p>
    <w:tbl>
      <w:tblPr>
        <w:tblW w:w="10590" w:type="dxa"/>
        <w:jc w:val="center"/>
        <w:tblCellSpacing w:w="0" w:type="dxa"/>
        <w:tblCellMar>
          <w:left w:w="0" w:type="dxa"/>
          <w:right w:w="0" w:type="dxa"/>
        </w:tblCellMar>
        <w:tblLook w:val="04A0"/>
      </w:tblPr>
      <w:tblGrid>
        <w:gridCol w:w="3945"/>
        <w:gridCol w:w="2970"/>
        <w:gridCol w:w="3675"/>
      </w:tblGrid>
      <w:tr w:rsidR="00FD74AE" w:rsidRPr="00FD74AE">
        <w:trPr>
          <w:trHeight w:val="375"/>
          <w:tblCellSpacing w:w="0" w:type="dxa"/>
          <w:jc w:val="center"/>
        </w:trPr>
        <w:tc>
          <w:tcPr>
            <w:tcW w:w="3945" w:type="dxa"/>
            <w:vAlign w:val="center"/>
            <w:hideMark/>
          </w:tcPr>
          <w:p w:rsidR="00FD74AE" w:rsidRPr="00FD74AE" w:rsidRDefault="00FD74AE" w:rsidP="00FD74AE">
            <w:pPr>
              <w:widowControl/>
              <w:jc w:val="right"/>
              <w:rPr>
                <w:rFonts w:ascii="宋体" w:eastAsia="宋体" w:hAnsi="宋体" w:cs="宋体"/>
                <w:color w:val="797979"/>
                <w:kern w:val="0"/>
                <w:sz w:val="18"/>
                <w:szCs w:val="18"/>
              </w:rPr>
            </w:pPr>
          </w:p>
        </w:tc>
        <w:tc>
          <w:tcPr>
            <w:tcW w:w="2970" w:type="dxa"/>
            <w:vAlign w:val="center"/>
            <w:hideMark/>
          </w:tcPr>
          <w:p w:rsidR="00FD74AE" w:rsidRPr="00FD74AE" w:rsidRDefault="00FD74AE" w:rsidP="00FD74AE">
            <w:pPr>
              <w:widowControl/>
              <w:jc w:val="center"/>
              <w:rPr>
                <w:rFonts w:ascii="宋体" w:eastAsia="宋体" w:hAnsi="宋体" w:cs="宋体"/>
                <w:kern w:val="0"/>
                <w:sz w:val="24"/>
                <w:szCs w:val="24"/>
              </w:rPr>
            </w:pPr>
          </w:p>
        </w:tc>
        <w:tc>
          <w:tcPr>
            <w:tcW w:w="3675" w:type="dxa"/>
            <w:vAlign w:val="center"/>
            <w:hideMark/>
          </w:tcPr>
          <w:p w:rsidR="00FD74AE" w:rsidRPr="00FD74AE" w:rsidRDefault="00FD74AE" w:rsidP="00FD74AE">
            <w:pPr>
              <w:widowControl/>
              <w:jc w:val="left"/>
              <w:rPr>
                <w:rFonts w:ascii="宋体" w:eastAsia="宋体" w:hAnsi="宋体" w:cs="宋体"/>
                <w:kern w:val="0"/>
                <w:sz w:val="24"/>
                <w:szCs w:val="24"/>
              </w:rPr>
            </w:pPr>
          </w:p>
        </w:tc>
      </w:tr>
    </w:tbl>
    <w:p w:rsidR="00FD74AE" w:rsidRPr="00FD74AE" w:rsidRDefault="00FD74AE" w:rsidP="00FD74AE">
      <w:pPr>
        <w:widowControl/>
        <w:jc w:val="center"/>
        <w:rPr>
          <w:rFonts w:ascii="宋体" w:eastAsia="宋体" w:hAnsi="宋体" w:cs="宋体"/>
          <w:vanish/>
          <w:kern w:val="0"/>
          <w:sz w:val="24"/>
          <w:szCs w:val="24"/>
        </w:rPr>
      </w:pPr>
    </w:p>
    <w:tbl>
      <w:tblPr>
        <w:tblW w:w="10215" w:type="dxa"/>
        <w:jc w:val="center"/>
        <w:tblCellSpacing w:w="0" w:type="dxa"/>
        <w:tblCellMar>
          <w:left w:w="0" w:type="dxa"/>
          <w:right w:w="0" w:type="dxa"/>
        </w:tblCellMar>
        <w:tblLook w:val="04A0"/>
      </w:tblPr>
      <w:tblGrid>
        <w:gridCol w:w="10215"/>
      </w:tblGrid>
      <w:tr w:rsidR="00FD74AE" w:rsidRPr="00FD74AE">
        <w:trPr>
          <w:tblCellSpacing w:w="0" w:type="dxa"/>
          <w:jc w:val="center"/>
        </w:trPr>
        <w:tc>
          <w:tcPr>
            <w:tcW w:w="10215" w:type="dxa"/>
            <w:vAlign w:val="center"/>
            <w:hideMark/>
          </w:tcPr>
          <w:p w:rsidR="00FD74AE" w:rsidRPr="00FD74AE" w:rsidRDefault="00FD74AE" w:rsidP="00FD74AE">
            <w:pPr>
              <w:widowControl/>
              <w:spacing w:after="180"/>
              <w:jc w:val="left"/>
              <w:rPr>
                <w:rFonts w:ascii="宋体" w:eastAsia="宋体" w:hAnsi="宋体" w:cs="宋体"/>
                <w:color w:val="2D2D2D"/>
                <w:kern w:val="0"/>
                <w:szCs w:val="21"/>
              </w:rPr>
            </w:pPr>
            <w:r w:rsidRPr="00FD74AE">
              <w:rPr>
                <w:rFonts w:ascii="宋体" w:eastAsia="宋体" w:hAnsi="宋体" w:cs="宋体" w:hint="eastAsia"/>
                <w:color w:val="2D2D2D"/>
                <w:kern w:val="0"/>
                <w:szCs w:val="21"/>
              </w:rPr>
              <w:t xml:space="preserve">　　一、技术概况</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超级电容器(electrochemical capacitors， ECs)又叫双电层电容器，是一类性能介于物理电容器和二次电池之间的新型储能器件，兼有物理电容器高比功率和电池高比能量的特点，填补了传统物理电容器和化学电池的能量空白，其容量可达几百至上</w:t>
            </w:r>
            <w:proofErr w:type="gramStart"/>
            <w:r w:rsidRPr="00FD74AE">
              <w:rPr>
                <w:rFonts w:ascii="宋体" w:eastAsia="宋体" w:hAnsi="宋体" w:cs="宋体" w:hint="eastAsia"/>
                <w:color w:val="2D2D2D"/>
                <w:kern w:val="0"/>
                <w:szCs w:val="21"/>
              </w:rPr>
              <w:t>千法拉</w:t>
            </w:r>
            <w:proofErr w:type="gramEnd"/>
            <w:r w:rsidRPr="00FD74AE">
              <w:rPr>
                <w:rFonts w:ascii="宋体" w:eastAsia="宋体" w:hAnsi="宋体" w:cs="宋体" w:hint="eastAsia"/>
                <w:color w:val="2D2D2D"/>
                <w:kern w:val="0"/>
                <w:szCs w:val="21"/>
              </w:rPr>
              <w:t>，甚至是</w:t>
            </w:r>
            <w:proofErr w:type="gramStart"/>
            <w:r w:rsidRPr="00FD74AE">
              <w:rPr>
                <w:rFonts w:ascii="宋体" w:eastAsia="宋体" w:hAnsi="宋体" w:cs="宋体" w:hint="eastAsia"/>
                <w:color w:val="2D2D2D"/>
                <w:kern w:val="0"/>
                <w:szCs w:val="21"/>
              </w:rPr>
              <w:t>万法拉</w:t>
            </w:r>
            <w:proofErr w:type="gramEnd"/>
            <w:r w:rsidRPr="00FD74AE">
              <w:rPr>
                <w:rFonts w:ascii="宋体" w:eastAsia="宋体" w:hAnsi="宋体" w:cs="宋体" w:hint="eastAsia"/>
                <w:color w:val="2D2D2D"/>
                <w:kern w:val="0"/>
                <w:szCs w:val="21"/>
              </w:rPr>
              <w:t>级。超级电容器作为一种新型储能装置，具有显著的特点和优势，可以在某些领域取代传统电池，在节能环保日益成为主题的今天，它的应用越来越引起世界各国的重视。超级电容器系采用表面储能技术，依靠材料表面与电解液间形成双电层来实现电能的直接存储，具有功率密度大、成本低廉、循环寿命长、安全性高等优点。美国《探索》杂志2007年1月号，将超级电容器列为2006年世界七大科技发现之一，认为超级电容器是能量储存领域的一项革命性发展，并将在某些领域取代传统蓄电池。</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石墨</w:t>
            </w:r>
            <w:proofErr w:type="gramStart"/>
            <w:r w:rsidRPr="00FD74AE">
              <w:rPr>
                <w:rFonts w:ascii="宋体" w:eastAsia="宋体" w:hAnsi="宋体" w:cs="宋体" w:hint="eastAsia"/>
                <w:color w:val="2D2D2D"/>
                <w:kern w:val="0"/>
                <w:szCs w:val="21"/>
              </w:rPr>
              <w:t>烯</w:t>
            </w:r>
            <w:proofErr w:type="gramEnd"/>
            <w:r w:rsidRPr="00FD74AE">
              <w:rPr>
                <w:rFonts w:ascii="宋体" w:eastAsia="宋体" w:hAnsi="宋体" w:cs="宋体" w:hint="eastAsia"/>
                <w:color w:val="2D2D2D"/>
                <w:kern w:val="0"/>
                <w:szCs w:val="21"/>
              </w:rPr>
              <w:t>超级电容器具有较高的比容量、功率密度、能量密度以及良好的稳定性，是一种价格低廉、环境友好的储能器件。</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二、主要原料及来源</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石墨烯，为本单位自行研发的高技术材料，成本可控。</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三、产品用途和市场</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该产品既可以用于民用消费类电子产品领域的后备电源、替换电源和主电源，又可以应用于国家大型项目太阳能能源发电系统、智能电网系统、新能源汽车、工业节能系统、脉冲电源系统以及高端军事装备等领域。高功率超级电容器在航空航导弹弹射器、脉冲激光武器、空客A380大飞机应急舱门系统、坦克及装甲车冷启动、电动汽车功率加速及能量回收单元、商业电子产品如照相机闪光灯和移动电话等领域均有巨大的应用前景。超级电容器基混合动力车，与传统汽油机车相比，其CO2废气排放下降50％，HC、CO和</w:t>
            </w:r>
            <w:proofErr w:type="spellStart"/>
            <w:r w:rsidRPr="00FD74AE">
              <w:rPr>
                <w:rFonts w:ascii="宋体" w:eastAsia="宋体" w:hAnsi="宋体" w:cs="宋体" w:hint="eastAsia"/>
                <w:color w:val="2D2D2D"/>
                <w:kern w:val="0"/>
                <w:szCs w:val="21"/>
              </w:rPr>
              <w:t>NOx</w:t>
            </w:r>
            <w:proofErr w:type="spellEnd"/>
            <w:r w:rsidRPr="00FD74AE">
              <w:rPr>
                <w:rFonts w:ascii="宋体" w:eastAsia="宋体" w:hAnsi="宋体" w:cs="宋体" w:hint="eastAsia"/>
                <w:color w:val="2D2D2D"/>
                <w:kern w:val="0"/>
                <w:szCs w:val="21"/>
              </w:rPr>
              <w:t>排放降低90％，燃油节省一半。</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四、主要设备及总投资</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主要设备：真空搅拌机、涂布机、薄膜处理机、电池极片涂布机、涂布机、真空封口机、折边机、喷码机等。</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公用设施：厂房1000-1500 m2，配套水、电、暖、电池级超净室</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总投资：3500 万元</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投资回收期：3-5年</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五、技术合作形式</w:t>
            </w:r>
          </w:p>
          <w:p w:rsidR="00FD74AE" w:rsidRPr="00FD74AE" w:rsidRDefault="00FD74AE" w:rsidP="00FD74AE">
            <w:pPr>
              <w:widowControl/>
              <w:spacing w:after="180"/>
              <w:jc w:val="left"/>
              <w:rPr>
                <w:rFonts w:ascii="宋体" w:eastAsia="宋体" w:hAnsi="宋体" w:cs="宋体" w:hint="eastAsia"/>
                <w:color w:val="2D2D2D"/>
                <w:kern w:val="0"/>
                <w:szCs w:val="21"/>
              </w:rPr>
            </w:pPr>
            <w:r w:rsidRPr="00FD74AE">
              <w:rPr>
                <w:rFonts w:ascii="宋体" w:eastAsia="宋体" w:hAnsi="宋体" w:cs="宋体" w:hint="eastAsia"/>
                <w:color w:val="2D2D2D"/>
                <w:kern w:val="0"/>
                <w:szCs w:val="21"/>
              </w:rPr>
              <w:t xml:space="preserve">　　技术转让，技术入股，联合开发均可。</w:t>
            </w:r>
          </w:p>
          <w:p w:rsidR="00FD74AE" w:rsidRPr="00FD74AE" w:rsidRDefault="00FD74AE" w:rsidP="00FD74AE">
            <w:pPr>
              <w:widowControl/>
              <w:spacing w:after="180"/>
              <w:jc w:val="left"/>
              <w:rPr>
                <w:rFonts w:ascii="宋体" w:eastAsia="宋体" w:hAnsi="宋体" w:cs="宋体"/>
                <w:color w:val="2D2D2D"/>
                <w:kern w:val="0"/>
                <w:szCs w:val="21"/>
              </w:rPr>
            </w:pPr>
            <w:r w:rsidRPr="00FD74AE">
              <w:rPr>
                <w:rFonts w:ascii="宋体" w:eastAsia="宋体" w:hAnsi="宋体" w:cs="宋体" w:hint="eastAsia"/>
                <w:color w:val="2D2D2D"/>
                <w:kern w:val="0"/>
                <w:szCs w:val="21"/>
              </w:rPr>
              <w:t xml:space="preserve">　　</w:t>
            </w:r>
          </w:p>
        </w:tc>
      </w:tr>
    </w:tbl>
    <w:p w:rsidR="00A1053D" w:rsidRPr="00FD74AE" w:rsidRDefault="00A1053D"/>
    <w:sectPr w:rsidR="00A1053D" w:rsidRPr="00FD74AE" w:rsidSect="00A105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6F3" w:rsidRDefault="00D606F3" w:rsidP="00FD74AE">
      <w:r>
        <w:separator/>
      </w:r>
    </w:p>
  </w:endnote>
  <w:endnote w:type="continuationSeparator" w:id="0">
    <w:p w:rsidR="00D606F3" w:rsidRDefault="00D606F3" w:rsidP="00FD74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6F3" w:rsidRDefault="00D606F3" w:rsidP="00FD74AE">
      <w:r>
        <w:separator/>
      </w:r>
    </w:p>
  </w:footnote>
  <w:footnote w:type="continuationSeparator" w:id="0">
    <w:p w:rsidR="00D606F3" w:rsidRDefault="00D606F3" w:rsidP="00FD74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74AE"/>
    <w:rsid w:val="00A1053D"/>
    <w:rsid w:val="00A308A7"/>
    <w:rsid w:val="00D606F3"/>
    <w:rsid w:val="00FD7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7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74AE"/>
    <w:rPr>
      <w:sz w:val="18"/>
      <w:szCs w:val="18"/>
    </w:rPr>
  </w:style>
  <w:style w:type="paragraph" w:styleId="a4">
    <w:name w:val="footer"/>
    <w:basedOn w:val="a"/>
    <w:link w:val="Char0"/>
    <w:uiPriority w:val="99"/>
    <w:semiHidden/>
    <w:unhideWhenUsed/>
    <w:rsid w:val="00FD74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74AE"/>
    <w:rPr>
      <w:sz w:val="18"/>
      <w:szCs w:val="18"/>
    </w:rPr>
  </w:style>
  <w:style w:type="character" w:styleId="a5">
    <w:name w:val="Hyperlink"/>
    <w:basedOn w:val="a0"/>
    <w:uiPriority w:val="99"/>
    <w:semiHidden/>
    <w:unhideWhenUsed/>
    <w:rsid w:val="00FD74AE"/>
    <w:rPr>
      <w:color w:val="0000FF"/>
      <w:u w:val="single"/>
    </w:rPr>
  </w:style>
  <w:style w:type="character" w:customStyle="1" w:styleId="hui14c1">
    <w:name w:val="hui14c1"/>
    <w:basedOn w:val="a0"/>
    <w:rsid w:val="00FD74AE"/>
    <w:rPr>
      <w:rFonts w:ascii="宋体" w:eastAsia="宋体" w:hAnsi="宋体" w:hint="eastAsia"/>
      <w:b/>
      <w:bCs/>
      <w:strike w:val="0"/>
      <w:dstrike w:val="0"/>
      <w:color w:val="404040"/>
      <w:sz w:val="21"/>
      <w:szCs w:val="21"/>
      <w:u w:val="none"/>
      <w:effect w:val="none"/>
    </w:rPr>
  </w:style>
  <w:style w:type="character" w:customStyle="1" w:styleId="hui121">
    <w:name w:val="hui121"/>
    <w:basedOn w:val="a0"/>
    <w:rsid w:val="00FD74AE"/>
    <w:rPr>
      <w:rFonts w:ascii="宋体" w:eastAsia="宋体" w:hAnsi="宋体" w:hint="eastAsia"/>
      <w:strike w:val="0"/>
      <w:dstrike w:val="0"/>
      <w:color w:val="797979"/>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491797444">
      <w:bodyDiv w:val="1"/>
      <w:marLeft w:val="0"/>
      <w:marRight w:val="0"/>
      <w:marTop w:val="0"/>
      <w:marBottom w:val="0"/>
      <w:divBdr>
        <w:top w:val="none" w:sz="0" w:space="0" w:color="auto"/>
        <w:left w:val="none" w:sz="0" w:space="0" w:color="auto"/>
        <w:bottom w:val="none" w:sz="0" w:space="0" w:color="auto"/>
        <w:right w:val="none" w:sz="0" w:space="0" w:color="auto"/>
      </w:divBdr>
      <w:divsChild>
        <w:div w:id="1650548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Company>Lenovo</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2015-03-02T01:36:00Z</dcterms:created>
  <dcterms:modified xsi:type="dcterms:W3CDTF">2015-03-02T01:36:00Z</dcterms:modified>
</cp:coreProperties>
</file>